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DF" w:rsidRDefault="009E4C14" w:rsidP="00BA1A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решению Собрания депутатов</w:t>
      </w:r>
    </w:p>
    <w:p w:rsidR="009E4C14" w:rsidRPr="009E4C14" w:rsidRDefault="009E4C14" w:rsidP="00BA1A36">
      <w:pPr>
        <w:spacing w:after="0"/>
        <w:jc w:val="right"/>
        <w:rPr>
          <w:rStyle w:val="fontstyle01"/>
          <w:color w:val="aut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Островского района № </w:t>
      </w:r>
      <w:r w:rsidR="00BA1A36">
        <w:rPr>
          <w:rFonts w:ascii="Times New Roman" w:eastAsia="Times New Roman" w:hAnsi="Times New Roman" w:cs="Times New Roman"/>
          <w:sz w:val="28"/>
          <w:szCs w:val="28"/>
          <w:lang w:eastAsia="ru-RU"/>
        </w:rPr>
        <w:t>71 от 31.08.2023</w:t>
      </w:r>
    </w:p>
    <w:p w:rsidR="006F6EDF" w:rsidRPr="00CD7CEB" w:rsidRDefault="0098342A" w:rsidP="00BA1A3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</w:t>
      </w:r>
      <w:r w:rsidR="006F6EDF" w:rsidRPr="00CD7CEB">
        <w:rPr>
          <w:rFonts w:ascii="Times New Roman" w:hAnsi="Times New Roman" w:cs="Times New Roman"/>
          <w:b/>
          <w:sz w:val="32"/>
          <w:szCs w:val="32"/>
        </w:rPr>
        <w:t>Летняя оздоровительная компания.</w:t>
      </w:r>
      <w:bookmarkStart w:id="0" w:name="_GoBack"/>
      <w:bookmarkEnd w:id="0"/>
    </w:p>
    <w:p w:rsidR="006F6EDF" w:rsidRPr="00212682" w:rsidRDefault="006F6EDF" w:rsidP="0091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>Деятельность лагерей с дневным пребыванием, находящихся на территории района,   регулировалась постановлением ИОМС Управление образования Островского района от 24.04.2023 № 60 «Об организации лагерей с дневным пребыванием на базе образовательных учреждений в период школьных каникул 2023 года».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  На организацию лагерей с дневным пребыванием  местным бюджетом выделено в 2023 году 266 500 руб., областным бюджетом – 110 870руб. На эти средства организовано двухразовое питание детей, обеспечение моющими и дезинфицирующими средствами, медикаментами в лагерях с дневным пребыванием. Израсходовано средств местного бюджета 226686 рублей 70 копеек.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  В период осенних каникул 2023 года планируется  организация лагерей с дневным пребыванием на базе МБОУ СШ №7 им. В.Н. Пушкарева и МБОУ   «Гимназия». В летний период лагеря не организованы по причине капитального ремонта МБОУ СШ №7 им. В.Н. Пушкарева и по причине проведения ОГЭ и ЕГЭ в МБОУ « Гимназия».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 Детям, находящимся в ТЖС, в лагерях с дневным пребыванием предоставлено 45 мест, организованных за счет средств  областного бюджета, и 65 мест – за счет средств местного бюджета. 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t xml:space="preserve">  1.</w:t>
      </w:r>
      <w:r w:rsidRPr="00212682">
        <w:rPr>
          <w:rFonts w:ascii="Times New Roman" w:hAnsi="Times New Roman" w:cs="Times New Roman"/>
          <w:sz w:val="28"/>
          <w:szCs w:val="28"/>
        </w:rPr>
        <w:t xml:space="preserve">    В соответствии с областным планом распределения путевок в детские загородные оздоровительные и санаторно-оздоровительные лагеря нашему району предоставлено 75 путевок, частично оплачиваемых за счет средств областного бюджета. </w:t>
      </w:r>
      <w:proofErr w:type="gramStart"/>
      <w:r w:rsidRPr="00212682">
        <w:rPr>
          <w:rFonts w:ascii="Times New Roman" w:hAnsi="Times New Roman" w:cs="Times New Roman"/>
          <w:sz w:val="28"/>
          <w:szCs w:val="28"/>
        </w:rPr>
        <w:t>Из них 20 путевок предназначены для детей, находящихся в ТЖС, и 9 путевок, со 100% оплатой из областного бюджета, предназначены для детей-инвалидов, детей с ОВЗ и детей, находящихся под опекой.</w:t>
      </w:r>
      <w:proofErr w:type="gramEnd"/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В загородных и санаторно-оздоровительных лагерях  отдохнуло </w:t>
      </w:r>
      <w:r w:rsidRPr="00212682">
        <w:rPr>
          <w:rFonts w:ascii="Times New Roman" w:hAnsi="Times New Roman" w:cs="Times New Roman"/>
          <w:b/>
          <w:sz w:val="28"/>
          <w:szCs w:val="28"/>
        </w:rPr>
        <w:t xml:space="preserve">56 </w:t>
      </w:r>
      <w:r w:rsidRPr="00212682">
        <w:rPr>
          <w:rFonts w:ascii="Times New Roman" w:hAnsi="Times New Roman" w:cs="Times New Roman"/>
          <w:sz w:val="28"/>
          <w:szCs w:val="28"/>
        </w:rPr>
        <w:t xml:space="preserve">детей, из них: ТЖС – </w:t>
      </w:r>
      <w:r w:rsidRPr="00212682">
        <w:rPr>
          <w:rFonts w:ascii="Times New Roman" w:hAnsi="Times New Roman" w:cs="Times New Roman"/>
          <w:b/>
          <w:sz w:val="28"/>
          <w:szCs w:val="28"/>
        </w:rPr>
        <w:t>21</w:t>
      </w:r>
      <w:r w:rsidRPr="00212682">
        <w:rPr>
          <w:rFonts w:ascii="Times New Roman" w:hAnsi="Times New Roman" w:cs="Times New Roman"/>
          <w:sz w:val="28"/>
          <w:szCs w:val="28"/>
        </w:rPr>
        <w:t xml:space="preserve">; детей, находящихся под опекой- </w:t>
      </w:r>
      <w:r w:rsidRPr="00212682">
        <w:rPr>
          <w:rFonts w:ascii="Times New Roman" w:hAnsi="Times New Roman" w:cs="Times New Roman"/>
          <w:b/>
          <w:sz w:val="28"/>
          <w:szCs w:val="28"/>
        </w:rPr>
        <w:t>4</w:t>
      </w:r>
      <w:r w:rsidRPr="00212682">
        <w:rPr>
          <w:rFonts w:ascii="Times New Roman" w:hAnsi="Times New Roman" w:cs="Times New Roman"/>
          <w:sz w:val="28"/>
          <w:szCs w:val="28"/>
        </w:rPr>
        <w:t>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 В загородный лагерь «Алые паруса» на спортивной смене отдохнуло</w:t>
      </w:r>
      <w:r w:rsidRPr="00212682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Pr="00212682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t xml:space="preserve">  2.</w:t>
      </w:r>
      <w:r w:rsidRPr="00212682">
        <w:rPr>
          <w:rFonts w:ascii="Times New Roman" w:hAnsi="Times New Roman" w:cs="Times New Roman"/>
          <w:sz w:val="28"/>
          <w:szCs w:val="28"/>
        </w:rPr>
        <w:t xml:space="preserve">  В загородный лагерь «Космос» Великолукского района предоставлены путевки, частично оплачиваемые из средств  областного бюджета, для детей, состоящих на профилактическом учете в Комиссии по делам несовершеннолетних. В лагере отдохнуло </w:t>
      </w:r>
      <w:r w:rsidRPr="00212682">
        <w:rPr>
          <w:rFonts w:ascii="Times New Roman" w:hAnsi="Times New Roman" w:cs="Times New Roman"/>
          <w:b/>
          <w:sz w:val="28"/>
          <w:szCs w:val="28"/>
        </w:rPr>
        <w:t>4</w:t>
      </w:r>
      <w:r w:rsidRPr="00212682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3</w:t>
      </w:r>
      <w:r w:rsidRPr="00212682">
        <w:rPr>
          <w:rFonts w:ascii="Times New Roman" w:hAnsi="Times New Roman" w:cs="Times New Roman"/>
          <w:sz w:val="28"/>
          <w:szCs w:val="28"/>
        </w:rPr>
        <w:t xml:space="preserve">. В загородный лагерь «Чайка»  Великолукского района, нашему району предоставлены 34 путевки (2 смена  с 04.07.2023 по 24.07.2023; 3 смена: с 27.07.2023 по 16.08.2023)  для школьников 14-17 лет, оплаченные  из средств областного бюджета,  на  профильную смену, где была реализована дополнительная общеобразовательная программа «Путь Героя». Программа ориентирована на комплексное развитие, патриотическое воспитание и подготовку молодежи РФ к службе в Вооруженных силах страны. 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 В лагерь направлено </w:t>
      </w:r>
      <w:r w:rsidRPr="00212682"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Pr="00212682">
        <w:rPr>
          <w:rFonts w:ascii="Times New Roman" w:hAnsi="Times New Roman" w:cs="Times New Roman"/>
          <w:sz w:val="28"/>
          <w:szCs w:val="28"/>
        </w:rPr>
        <w:t>детей.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t xml:space="preserve">    4.</w:t>
      </w:r>
      <w:r w:rsidRPr="00212682">
        <w:rPr>
          <w:rFonts w:ascii="Times New Roman" w:hAnsi="Times New Roman" w:cs="Times New Roman"/>
          <w:sz w:val="28"/>
          <w:szCs w:val="28"/>
        </w:rPr>
        <w:t xml:space="preserve"> В загородный лагерь  «Стремительный» Печорского района на смену Регионального отделения Общероссийского общественно-государственного движения детей и молодежи « Движение первых» (05.08.2023 – 22.08.2023) району предоставлено 5 путевок, почти полностью оплаченных из средств областного бюджета. Родитель</w:t>
      </w:r>
      <w:r w:rsidR="00086D7F">
        <w:rPr>
          <w:rFonts w:ascii="Times New Roman" w:hAnsi="Times New Roman" w:cs="Times New Roman"/>
          <w:sz w:val="28"/>
          <w:szCs w:val="28"/>
        </w:rPr>
        <w:t>ская плата составляет 1128 руб.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В лагерь направлено </w:t>
      </w:r>
      <w:r w:rsidRPr="0021268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212682">
        <w:rPr>
          <w:rFonts w:ascii="Times New Roman" w:hAnsi="Times New Roman" w:cs="Times New Roman"/>
          <w:sz w:val="28"/>
          <w:szCs w:val="28"/>
        </w:rPr>
        <w:t>детей.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 Все места в лагеря с дневным пребыванием и загородные оздоровительные лагеря, находящиеся на территории Псковской области, предоставлены нашему району в соответствии с заявкой от 19.12.2022 № 673, направленной в Комитет по образованию Псковской области.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t xml:space="preserve">  5.</w:t>
      </w:r>
      <w:r w:rsidRPr="00212682">
        <w:rPr>
          <w:rFonts w:ascii="Times New Roman" w:hAnsi="Times New Roman" w:cs="Times New Roman"/>
          <w:sz w:val="28"/>
          <w:szCs w:val="28"/>
        </w:rPr>
        <w:t xml:space="preserve"> В соответствии с заявкой ИОМС Управление образования Островского района от 24.04.2023 № 102, району   предоставлены 32 путевки, оплаченные из средств областного бюджета, для детей, родители которых являются участниками СВО.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b/>
          <w:sz w:val="28"/>
          <w:szCs w:val="28"/>
        </w:rPr>
        <w:t xml:space="preserve"> 34</w:t>
      </w:r>
      <w:r w:rsidRPr="00212682">
        <w:rPr>
          <w:rFonts w:ascii="Times New Roman" w:hAnsi="Times New Roman" w:cs="Times New Roman"/>
          <w:sz w:val="28"/>
          <w:szCs w:val="28"/>
        </w:rPr>
        <w:t xml:space="preserve"> ребенка, родители, которых являются участниками СВО, отдохнули в загородных  и санаторно-оздоровительных лагерях.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Централизованная доставка детей до загородных оздоровительных лагерей ИОМС Управление образования Островского района не осуществляется. 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t xml:space="preserve">   Предоставлена возможность отдыха детей в международном детском центре (МДЦ) «Артек», и « Орленок» при условии регистрации на сайте лагеря в разделе АИС  «Путевка» и получении наивысшего балла по результатам  рейтингового отбора.    </w:t>
      </w:r>
    </w:p>
    <w:p w:rsidR="006F6EDF" w:rsidRPr="00212682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212682">
        <w:rPr>
          <w:rFonts w:ascii="Times New Roman" w:hAnsi="Times New Roman" w:cs="Times New Roman"/>
          <w:sz w:val="28"/>
          <w:szCs w:val="28"/>
        </w:rPr>
        <w:lastRenderedPageBreak/>
        <w:t xml:space="preserve">     Информация по организованному отдыху детей за пределами Псковской области в 2023 году на отчетную дату отсутствует.</w:t>
      </w:r>
    </w:p>
    <w:p w:rsidR="006F6EDF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6EDF" w:rsidRPr="006F6EDF" w:rsidRDefault="006F6EDF" w:rsidP="009132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EDF">
        <w:rPr>
          <w:rFonts w:ascii="Times New Roman" w:hAnsi="Times New Roman" w:cs="Times New Roman"/>
          <w:b/>
          <w:sz w:val="28"/>
          <w:szCs w:val="28"/>
        </w:rPr>
        <w:t>Готовность учреждений образования к началу нового учебного года.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Приёмка образовательных организаций Островского района проходила в период с 8 по 11 августа. </w:t>
      </w:r>
      <w:r w:rsidRPr="00CD7CEB">
        <w:rPr>
          <w:rFonts w:ascii="Times New Roman" w:hAnsi="Times New Roman" w:cs="Times New Roman"/>
          <w:sz w:val="28"/>
          <w:szCs w:val="28"/>
        </w:rPr>
        <w:t>Важнейшей задачей отдела образования, руководителей образовательных организаций является подготовка учебно-материального оснащения учреждений в соответствии с современными требованиями охраны здоровья обучающихся и техники безопасности.</w:t>
      </w:r>
      <w:r w:rsidRPr="00CD7CEB">
        <w:rPr>
          <w:rFonts w:ascii="Times New Roman" w:hAnsi="Times New Roman" w:cs="Times New Roman"/>
          <w:sz w:val="28"/>
          <w:szCs w:val="28"/>
        </w:rPr>
        <w:cr/>
        <w:t xml:space="preserve">В рамках реализации государственной программы Минсельхоза «Комплексное развитие сельских территорий» Проходит капитальный ремонт здания детского сада «Березка» сумма контракта составляет 26 млн. рублей 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ab/>
        <w:t>В рамках федеральной программы «Модернизация школьных систем образования»  подходит к концу капитальный ремонт здания Средней школы №7 сумма контракта составляет 80 400 тыс. рублей. На следующий год отправлена заявка на капитальный ремонт сразу двух школ: Средней школы №3 и Крюковской средней школы.</w:t>
      </w:r>
    </w:p>
    <w:p w:rsidR="006F6EDF" w:rsidRPr="00CD7CEB" w:rsidRDefault="006F6EDF" w:rsidP="0091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По проекту «Успех каждого ребенка» капитально  отремонтированы спортивные залы в  школах №1 и школе №7. Отправлена заявка на включение в капитальный ремонт спортивного зала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Шиковского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отделения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Воронцовской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средней школы.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         Важным  ежегодным мероприятием в преддверии нового учебного года является подготовка образовательных учреждений к приемочной кампании. Объем средств, выделенных на подготовку организаций к новому учебному году, составил 3,5 млн. руб.  Это только на проведение ремонтных работ. </w:t>
      </w:r>
    </w:p>
    <w:p w:rsidR="006F6EDF" w:rsidRPr="00CD7CEB" w:rsidRDefault="006F6EDF" w:rsidP="0091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>Вопрос о комплексной безопасности наших учреждений является очень важным, в МБОУ «СШ№1» и МБОУ «СШ№7» продолжается обеспечение физической охраны, сотрудниками ЧОП. Для решения данной проблемы из местного бюджета было выделено порядка 810тыс. рублей.</w:t>
      </w:r>
    </w:p>
    <w:p w:rsidR="006F6EDF" w:rsidRPr="00CD7CEB" w:rsidRDefault="006F6EDF" w:rsidP="008B29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В рамках антитеррористических мероприятий в сельских образовательных учреждениях на этой недели начнётся установка видеодомофонов, на данное мероприятие было выделено 300 тыс. рублей. Установлено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периметральное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</w:t>
      </w:r>
      <w:r w:rsidRPr="00CD7CEB">
        <w:rPr>
          <w:rFonts w:ascii="Times New Roman" w:hAnsi="Times New Roman" w:cs="Times New Roman"/>
          <w:sz w:val="28"/>
          <w:szCs w:val="28"/>
        </w:rPr>
        <w:lastRenderedPageBreak/>
        <w:t>освещение в двух образовательных учреждениях это детский сад Бригантина и Средняя школа №7, было выделено 437 тыс. рублей.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И сегодня, 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 xml:space="preserve"> случаем,  выражаю огромную благодарность за содействие в подготовке учреждений Быстрову Дмитрию Михайловичу, Администрации района, руководителям учреждений, педагогическим коллективам образовательных учреждений, участвовавшим в подготовке школ и  детских садов к новому учебному году.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>2.1.Цифровизация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     В целях обеспечения реализации федерального проекта «Современная школа» национального проекта «Образование» поступательно продолжается работа по функционированию и созданию новых «Точек роста». 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В этом году центры точка роста появились в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Шиковском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отделении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Воронцовской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средней школы и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Рубиловском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отделении Средней школы №4. Таким 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 xml:space="preserve"> центры «Точка роста» есть во всех школах, кроме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Горайского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отделения, который  появится в следующем году.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>2.2. ЦОС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 xml:space="preserve">Создание цифровой образовательной среды - ключевое направление развития современной системы образования. Целевая модель цифровой образовательной среды внедрена в </w:t>
      </w:r>
      <w:proofErr w:type="spellStart"/>
      <w:r w:rsidRPr="00CD7CEB">
        <w:rPr>
          <w:rFonts w:ascii="Times New Roman" w:hAnsi="Times New Roman" w:cs="Times New Roman"/>
          <w:sz w:val="28"/>
          <w:szCs w:val="28"/>
        </w:rPr>
        <w:t>Воронцовской</w:t>
      </w:r>
      <w:proofErr w:type="spellEnd"/>
      <w:r w:rsidRPr="00CD7CEB">
        <w:rPr>
          <w:rFonts w:ascii="Times New Roman" w:hAnsi="Times New Roman" w:cs="Times New Roman"/>
          <w:sz w:val="28"/>
          <w:szCs w:val="28"/>
        </w:rPr>
        <w:t xml:space="preserve"> средней школе и Крюковской средней школе. Комитетом по образованию Псковской области было приобретено необходимое материально-техническое оборудование, которое будет активно использоваться  в урочной  и внеурочной деятельности, воспитательной работе, а также для повышения профессиональной компетентности педагогов. В перспективе планируется и дальнейшее  внедрение такой целевой модели в школах района.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D7CEB">
        <w:rPr>
          <w:rFonts w:ascii="Times New Roman" w:hAnsi="Times New Roman" w:cs="Times New Roman"/>
          <w:sz w:val="28"/>
          <w:szCs w:val="28"/>
        </w:rPr>
        <w:t>«Успех каждого ребенка»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t>Продолжается работа по созданию новых мест дополнительного образования в общеобразовательных учреждениях в рамках федерального проекта «Успех каждого ребенка» национального проекта «Образование»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 xml:space="preserve"> этом году по художественной направленности будут реализовываться программы доп. образования в Гимназии, Средней школе №4 и Средней школе №7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D7CEB">
        <w:rPr>
          <w:rFonts w:ascii="Times New Roman" w:hAnsi="Times New Roman" w:cs="Times New Roman"/>
          <w:sz w:val="28"/>
          <w:szCs w:val="28"/>
        </w:rPr>
        <w:t>Учебники</w:t>
      </w:r>
    </w:p>
    <w:p w:rsidR="006F6EDF" w:rsidRPr="00CD7CEB" w:rsidRDefault="006F6EDF" w:rsidP="00913224">
      <w:pPr>
        <w:jc w:val="both"/>
        <w:rPr>
          <w:rFonts w:ascii="Times New Roman" w:hAnsi="Times New Roman" w:cs="Times New Roman"/>
          <w:sz w:val="28"/>
          <w:szCs w:val="28"/>
        </w:rPr>
      </w:pPr>
      <w:r w:rsidRPr="00CD7CEB">
        <w:rPr>
          <w:rFonts w:ascii="Times New Roman" w:hAnsi="Times New Roman" w:cs="Times New Roman"/>
          <w:sz w:val="28"/>
          <w:szCs w:val="28"/>
        </w:rPr>
        <w:lastRenderedPageBreak/>
        <w:t>В этом году на приобретение учебников регионом было выделено порядка 3200 тыс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>ублей, что практически в два раза больше чем это было в предыдущем году. В следующем году эта цифра также будет увеличена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D7C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7CEB">
        <w:rPr>
          <w:rFonts w:ascii="Times New Roman" w:hAnsi="Times New Roman" w:cs="Times New Roman"/>
          <w:sz w:val="28"/>
          <w:szCs w:val="28"/>
        </w:rPr>
        <w:t>лайд)</w:t>
      </w:r>
    </w:p>
    <w:p w:rsidR="006F6EDF" w:rsidRPr="008B2929" w:rsidRDefault="006F6EDF" w:rsidP="00913224">
      <w:pPr>
        <w:jc w:val="both"/>
        <w:rPr>
          <w:rStyle w:val="fontstyle01"/>
          <w:b w:val="0"/>
          <w:bCs w:val="0"/>
          <w:color w:val="auto"/>
        </w:rPr>
      </w:pPr>
      <w:r w:rsidRPr="00CD7CEB">
        <w:rPr>
          <w:rFonts w:ascii="Times New Roman" w:hAnsi="Times New Roman" w:cs="Times New Roman"/>
          <w:sz w:val="28"/>
          <w:szCs w:val="28"/>
        </w:rPr>
        <w:t>По поручению президента о создание единого учебника истории и обеспечением данными учебниками  в этом году обязательно обучающихся 11 классов, а со следующего года обучающихся 10х классов, до 1 сентября в школы должны поступить новые учебники истории для 11 классов.</w:t>
      </w:r>
    </w:p>
    <w:p w:rsidR="00B15879" w:rsidRDefault="006F6EDF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>3. Итоги ГИА 202</w:t>
      </w:r>
      <w:r w:rsidR="00C45739">
        <w:rPr>
          <w:rStyle w:val="fontstyle01"/>
        </w:rPr>
        <w:t>3</w:t>
      </w:r>
    </w:p>
    <w:p w:rsidR="00B15879" w:rsidRDefault="00B15879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79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управления образования и педагогических коллективовобразовательных учреждений города </w:t>
      </w:r>
      <w:r>
        <w:rPr>
          <w:rFonts w:ascii="Times New Roman" w:hAnsi="Times New Roman" w:cs="Times New Roman"/>
          <w:color w:val="000000"/>
          <w:sz w:val="28"/>
          <w:szCs w:val="28"/>
        </w:rPr>
        <w:t>Острова</w:t>
      </w:r>
      <w:r w:rsidRPr="00B15879">
        <w:rPr>
          <w:rFonts w:ascii="Times New Roman" w:hAnsi="Times New Roman" w:cs="Times New Roman"/>
          <w:color w:val="000000"/>
          <w:sz w:val="28"/>
          <w:szCs w:val="28"/>
        </w:rPr>
        <w:t xml:space="preserve"> в 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B15879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15879">
        <w:rPr>
          <w:rFonts w:ascii="Times New Roman" w:hAnsi="Times New Roman" w:cs="Times New Roman"/>
          <w:color w:val="000000"/>
          <w:sz w:val="28"/>
          <w:szCs w:val="28"/>
        </w:rPr>
        <w:t xml:space="preserve"> учебномгоду была направлена на совершенствование системы образования, обеспечивающей его доступность, качество и эффективность, воспитание нравственных ценностей, гражданственности, патриотизма.</w:t>
      </w:r>
    </w:p>
    <w:p w:rsidR="0018383E" w:rsidRDefault="006F6EDF" w:rsidP="00913224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Style w:val="fontstyle01"/>
        </w:rPr>
        <w:t>3.1</w:t>
      </w:r>
      <w:r w:rsidR="00B15879">
        <w:rPr>
          <w:rStyle w:val="fontstyle01"/>
        </w:rPr>
        <w:t xml:space="preserve">. </w:t>
      </w:r>
      <w:r w:rsidR="00D30C91">
        <w:rPr>
          <w:rStyle w:val="fontstyle01"/>
        </w:rPr>
        <w:t>КОНТИНГЕНТ ОБУЧАЮЩИХСЯ  (школы)</w:t>
      </w:r>
      <w:r w:rsidR="00B15879">
        <w:rPr>
          <w:b/>
          <w:bCs/>
          <w:color w:val="000000"/>
          <w:sz w:val="28"/>
          <w:szCs w:val="28"/>
        </w:rPr>
        <w:br/>
      </w:r>
      <w:r w:rsidR="00B15879">
        <w:rPr>
          <w:rStyle w:val="fontstyle21"/>
        </w:rPr>
        <w:t>На начало 2022-2023 учебного года численность обучающихся школ</w:t>
      </w:r>
      <w:r w:rsidR="00DB34BA">
        <w:rPr>
          <w:rStyle w:val="fontstyle21"/>
        </w:rPr>
        <w:t xml:space="preserve"> района</w:t>
      </w:r>
      <w:r w:rsidR="00B15879">
        <w:rPr>
          <w:rStyle w:val="fontstyle21"/>
        </w:rPr>
        <w:t xml:space="preserve"> составила 2504 человека, </w:t>
      </w:r>
      <w:r w:rsidR="00B15879">
        <w:rPr>
          <w:color w:val="000000"/>
          <w:sz w:val="28"/>
          <w:szCs w:val="28"/>
        </w:rPr>
        <w:br/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>В 20</w:t>
      </w:r>
      <w:r w:rsidR="00DB34BA">
        <w:rPr>
          <w:rFonts w:ascii="Times New Roman" w:hAnsi="Times New Roman" w:cs="Times New Roman"/>
          <w:i/>
          <w:color w:val="000000"/>
          <w:sz w:val="28"/>
          <w:szCs w:val="28"/>
        </w:rPr>
        <w:t>22</w:t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>/2</w:t>
      </w:r>
      <w:r w:rsidR="00DB34BA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учебном году в городе нашли развитие различные формыобучения как в организациях, осуществляющих образовательную деятельность, так и вне организаций, осуществляющих образовательную деятельность (в форме семейного образования и самообразования).</w:t>
      </w:r>
      <w:r w:rsidR="00B15879" w:rsidRPr="009F1553">
        <w:rPr>
          <w:i/>
          <w:color w:val="000000"/>
          <w:sz w:val="28"/>
          <w:szCs w:val="28"/>
        </w:rPr>
        <w:br/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Индивидуальное обучение на дому организовано для </w:t>
      </w:r>
      <w:r w:rsidR="00967753">
        <w:rPr>
          <w:rFonts w:ascii="Times New Roman" w:hAnsi="Times New Roman" w:cs="Times New Roman"/>
          <w:i/>
          <w:color w:val="000000"/>
          <w:sz w:val="28"/>
          <w:szCs w:val="28"/>
        </w:rPr>
        <w:t>15</w:t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обучающихся,</w:t>
      </w:r>
      <w:r w:rsidR="00B15879" w:rsidRPr="009F1553">
        <w:rPr>
          <w:i/>
          <w:color w:val="000000"/>
          <w:sz w:val="28"/>
          <w:szCs w:val="28"/>
        </w:rPr>
        <w:br/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из них с ограниченными возможностями здоровья и дети-инвалиды – </w:t>
      </w:r>
      <w:r w:rsidR="00967753">
        <w:rPr>
          <w:rFonts w:ascii="Times New Roman" w:hAnsi="Times New Roman" w:cs="Times New Roman"/>
          <w:i/>
          <w:color w:val="000000"/>
          <w:sz w:val="28"/>
          <w:szCs w:val="28"/>
        </w:rPr>
        <w:t>5</w:t>
      </w:r>
      <w:r w:rsidR="00B15879" w:rsidRPr="009F15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человек, </w:t>
      </w:r>
    </w:p>
    <w:p w:rsidR="009F1553" w:rsidRDefault="009F1553" w:rsidP="00913224">
      <w:pPr>
        <w:jc w:val="both"/>
        <w:rPr>
          <w:i/>
          <w:sz w:val="18"/>
          <w:szCs w:val="18"/>
        </w:rPr>
      </w:pPr>
      <w:r w:rsidRPr="009F1553">
        <w:rPr>
          <w:rFonts w:ascii="Times New Roman" w:hAnsi="Times New Roman" w:cs="Times New Roman"/>
          <w:color w:val="000000"/>
          <w:sz w:val="28"/>
          <w:szCs w:val="28"/>
        </w:rPr>
        <w:t>Необходимо отметить, что разнообразие форм получения образованияобеспечивает вариативность и доступность общего образования, что в своюочередь увеличивает степень вовлечения обучаемых в учебный процесс.</w:t>
      </w:r>
    </w:p>
    <w:p w:rsidR="00DB34BA" w:rsidRDefault="0018383E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6F6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ДЕЯТЕЛЬНОСТИ МУНИЦИПАЛЬНОЙ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СИСТЕМЫ ОБРАЗОВАНИЯ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D30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.1. Учебные результаты</w:t>
      </w:r>
      <w:r w:rsidR="009F1553"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9F1553"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доступности и качества всех видов образовательныхуслуг - главная задача всех образовательных организаций </w:t>
      </w:r>
      <w:r w:rsidR="00DB3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9F1553"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383E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результатов 20</w:t>
      </w:r>
      <w:r w:rsidR="0026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63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 выявил следующее: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 отчетный период школ (% от общего числа) повысили качествообучения по сравнениюс показателями прошлого года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18383E" w:rsidRDefault="0018383E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F1553" w:rsidRPr="009F1553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br/>
      </w:r>
      <w:r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Показатели качества и </w:t>
      </w:r>
      <w:r w:rsidR="00DB3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успеваемости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</w:tblGrid>
      <w:tr w:rsidR="009F1553" w:rsidRPr="009F1553" w:rsidTr="009F155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9F1553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Учебный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9F1553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Окончили на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«4» и «5»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9F1553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F62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успеваем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ости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по городу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9F1553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% учащихся, переведенных в </w:t>
            </w:r>
            <w:proofErr w:type="spellStart"/>
            <w:proofErr w:type="gramStart"/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сле</w:t>
            </w:r>
            <w:proofErr w:type="spellEnd"/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дующий</w:t>
            </w:r>
            <w:proofErr w:type="gramEnd"/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класс условно от общего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числа</w:t>
            </w:r>
            <w:r w:rsidRPr="009F15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переведенных</w:t>
            </w:r>
          </w:p>
        </w:tc>
      </w:tr>
      <w:tr w:rsidR="009F1553" w:rsidRPr="009F1553" w:rsidTr="009F155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263F8D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E479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479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9F1553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41,7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F624D0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ED4C1C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2,39 (61 чел.)</w:t>
            </w:r>
          </w:p>
        </w:tc>
      </w:tr>
      <w:tr w:rsidR="009F1553" w:rsidRPr="009F1553" w:rsidTr="009F155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263F8D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ED4C1C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18383E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B20B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8C5E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(28</w:t>
            </w:r>
            <w:r w:rsidR="00ED4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чел)</w:t>
            </w:r>
          </w:p>
        </w:tc>
      </w:tr>
      <w:tr w:rsidR="009F1553" w:rsidRPr="009F1553" w:rsidTr="009F155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263F8D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B20B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B20B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96,67</w:t>
            </w:r>
            <w:r w:rsidR="009F1553" w:rsidRPr="009F1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53" w:rsidRPr="009F1553" w:rsidRDefault="00B334D5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2,33</w:t>
            </w:r>
            <w:r w:rsidR="00ED4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(55чел)</w:t>
            </w:r>
          </w:p>
        </w:tc>
      </w:tr>
    </w:tbl>
    <w:p w:rsidR="009E4C14" w:rsidRDefault="009E4C14" w:rsidP="00BA1A36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18383E" w:rsidRDefault="009F1553" w:rsidP="009E4C14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*Данные на21.08.202</w:t>
      </w:r>
      <w:r w:rsidR="00E479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без учета результатов ликвидации академических</w:t>
      </w:r>
      <w:r w:rsidR="009E4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задолженностей</w:t>
      </w:r>
    </w:p>
    <w:p w:rsidR="00ED17FD" w:rsidRDefault="009F1553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итоговой успеваемости показывает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, что качество обученияврядеобщеобразовательных организаций имеет тенденцию к росту</w:t>
      </w:r>
      <w:proofErr w:type="gramStart"/>
      <w:r w:rsidRPr="009F155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3146D1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="003146D1">
        <w:rPr>
          <w:rFonts w:ascii="Times New Roman" w:hAnsi="Times New Roman" w:cs="Times New Roman"/>
          <w:color w:val="000000"/>
          <w:sz w:val="28"/>
          <w:szCs w:val="28"/>
        </w:rPr>
        <w:t>БОУ «СШ№1», МБРОУ «СШ№7 им. В.Н. Пушкарёва», МБОУ «Гимназия»,МБОУ «</w:t>
      </w:r>
      <w:proofErr w:type="spellStart"/>
      <w:r w:rsidR="003146D1">
        <w:rPr>
          <w:rFonts w:ascii="Times New Roman" w:hAnsi="Times New Roman" w:cs="Times New Roman"/>
          <w:color w:val="000000"/>
          <w:sz w:val="28"/>
          <w:szCs w:val="28"/>
        </w:rPr>
        <w:t>Воронцовская</w:t>
      </w:r>
      <w:proofErr w:type="spellEnd"/>
      <w:r w:rsidR="003146D1">
        <w:rPr>
          <w:rFonts w:ascii="Times New Roman" w:hAnsi="Times New Roman" w:cs="Times New Roman"/>
          <w:color w:val="000000"/>
          <w:sz w:val="28"/>
          <w:szCs w:val="28"/>
        </w:rPr>
        <w:t xml:space="preserve"> СШ»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9F1553">
        <w:rPr>
          <w:color w:val="000000"/>
          <w:sz w:val="28"/>
          <w:szCs w:val="28"/>
        </w:rPr>
        <w:br/>
      </w: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263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выпускников 11 классов </w:t>
      </w: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 w:rsidR="00263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8,8 </w:t>
      </w: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% 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от общего числа 11-классников</w:t>
      </w:r>
      <w:proofErr w:type="gramStart"/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F1553">
        <w:rPr>
          <w:rFonts w:ascii="Times New Roman" w:hAnsi="Times New Roman" w:cs="Times New Roman"/>
          <w:color w:val="000000"/>
          <w:sz w:val="28"/>
          <w:szCs w:val="28"/>
        </w:rPr>
        <w:t>олучили аттестаты о среднем общем образовании с отличием инаграждены медалями «За особые успехи в учении» (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медалистов сократилось по сравнению с прошлым годом 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63F8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 чел.,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9,8%)</w:t>
      </w:r>
    </w:p>
    <w:p w:rsidR="00913224" w:rsidRDefault="009F1553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CD2EA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увеличилось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выпускников 9 классов, получивших аттестат об основном общем образовании с отличием -</w:t>
      </w:r>
      <w:r w:rsidR="006923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чел.</w:t>
      </w: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 w:rsidR="006923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9,36</w:t>
      </w:r>
      <w:r w:rsidRPr="009F15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%),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в20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 году - 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8 чел. (</w:t>
      </w:r>
      <w:r w:rsidR="00692328">
        <w:rPr>
          <w:rFonts w:ascii="Times New Roman" w:hAnsi="Times New Roman" w:cs="Times New Roman"/>
          <w:color w:val="000000"/>
          <w:sz w:val="28"/>
          <w:szCs w:val="28"/>
        </w:rPr>
        <w:t>8,35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%).</w:t>
      </w:r>
    </w:p>
    <w:p w:rsidR="0098342A" w:rsidRDefault="0098342A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42A" w:rsidRDefault="0098342A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42A" w:rsidRDefault="0098342A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42A" w:rsidRDefault="0098342A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42A" w:rsidRPr="0098342A" w:rsidRDefault="0098342A" w:rsidP="009132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0FBD" w:rsidRPr="00BA1A36" w:rsidRDefault="00913224" w:rsidP="00BA1A3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0F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Показатели качества и успеваемости в ОО Островского района</w:t>
      </w:r>
    </w:p>
    <w:tbl>
      <w:tblPr>
        <w:tblpPr w:leftFromText="180" w:rightFromText="180" w:vertAnchor="page" w:horzAnchor="margin" w:tblpY="2656"/>
        <w:tblW w:w="13688" w:type="dxa"/>
        <w:tblLayout w:type="fixed"/>
        <w:tblLook w:val="04A0"/>
      </w:tblPr>
      <w:tblGrid>
        <w:gridCol w:w="3702"/>
        <w:gridCol w:w="1605"/>
        <w:gridCol w:w="1605"/>
        <w:gridCol w:w="1783"/>
        <w:gridCol w:w="1784"/>
        <w:gridCol w:w="1605"/>
        <w:gridCol w:w="1604"/>
      </w:tblGrid>
      <w:tr w:rsidR="003146D1" w:rsidRPr="001A0FBD" w:rsidTr="003146D1">
        <w:trPr>
          <w:trHeight w:val="260"/>
        </w:trPr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МБОУ  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2020-2021 учебный год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2021-2022 учебный год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2022-2023 учебный год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успевае</w:t>
            </w:r>
            <w:proofErr w:type="spellEnd"/>
          </w:p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мости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% качества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успевае</w:t>
            </w:r>
            <w:proofErr w:type="spellEnd"/>
          </w:p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мости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% качества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успевае</w:t>
            </w:r>
            <w:proofErr w:type="spellEnd"/>
          </w:p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мости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% качества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Средняя школа №1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96.82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38,73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45,03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Средняя школа №3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85,15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22,41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97,10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22,43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91,71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23,38</w:t>
            </w:r>
          </w:p>
        </w:tc>
      </w:tr>
      <w:tr w:rsidR="003146D1" w:rsidRPr="001A0FBD" w:rsidTr="003146D1">
        <w:trPr>
          <w:trHeight w:val="494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Средняя школа №4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97,66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35,16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98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1A0FBD">
              <w:rPr>
                <w:rFonts w:ascii="Times New Roman" w:eastAsia="Calibri" w:hAnsi="Times New Roman" w:cs="Times New Roman"/>
              </w:rPr>
              <w:t>8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49,8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49,38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Средняя школа №7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98,42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49,91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99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48,08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,61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 Гимназия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97,09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40,99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98,12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33,78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50,35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Воронцовская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 школа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34,38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98,90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34,43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38,29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Горайское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 отделение МБОУ «Крюковская </w:t>
            </w: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сш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95,83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20,83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151983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56,51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26,32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Калининское отделение МБОУ «Средняя школа №4»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98,28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27,59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18,18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Рубиловское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 отделение МБОУ «Средняя школа №4»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96,77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45,16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44,00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42,11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Шиковское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 xml:space="preserve"> отделение  МБОУ «</w:t>
            </w:r>
            <w:proofErr w:type="spellStart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Воронцовскаясш</w:t>
            </w:r>
            <w:proofErr w:type="spellEnd"/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24,14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Крюковская школа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98,44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0FBD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151983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151983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51,50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96,49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lang w:eastAsia="ru-RU"/>
              </w:rPr>
              <w:t>50,34</w:t>
            </w:r>
          </w:p>
        </w:tc>
      </w:tr>
      <w:tr w:rsidR="003146D1" w:rsidRPr="001A0FBD" w:rsidTr="003146D1">
        <w:trPr>
          <w:trHeight w:val="2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0F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Островскому району</w:t>
            </w:r>
          </w:p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A0FBD">
              <w:rPr>
                <w:rFonts w:ascii="Times New Roman" w:eastAsia="Calibri" w:hAnsi="Times New Roman" w:cs="Times New Roman"/>
                <w:b/>
              </w:rPr>
              <w:t>96,8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A0FBD">
              <w:rPr>
                <w:rFonts w:ascii="Times New Roman" w:eastAsia="Calibri" w:hAnsi="Times New Roman" w:cs="Times New Roman"/>
                <w:b/>
              </w:rPr>
              <w:t>35,4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98,90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38,11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97,07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6D1" w:rsidRPr="001A0FBD" w:rsidRDefault="003146D1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40,43</w:t>
            </w:r>
          </w:p>
        </w:tc>
      </w:tr>
    </w:tbl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146D1" w:rsidRDefault="003146D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5736A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F1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*Данные на 21.08.202</w:t>
      </w:r>
      <w:r w:rsidR="00F624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без учета результатов ликвидации академических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задолженностей</w:t>
      </w:r>
    </w:p>
    <w:p w:rsidR="0010629E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показа</w:t>
      </w:r>
      <w:r w:rsidR="00394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 качества обучения по району</w:t>
      </w:r>
      <w:r w:rsidR="00C9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повысился по сравнению с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</w:t>
      </w:r>
      <w:r w:rsidR="00C9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C9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ом: он составил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="00C9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9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 Успешно (на «4» и «5») окончили 20</w:t>
      </w:r>
      <w:r w:rsidR="00E4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E4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</w:t>
      </w:r>
      <w:r w:rsidR="00E4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955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</w:t>
      </w:r>
      <w:r w:rsidR="00E42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371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что составило 38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1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(в прошлом учебном году</w:t>
      </w:r>
      <w:r w:rsidR="00371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 цифра составляла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71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38,11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%).</w:t>
      </w:r>
    </w:p>
    <w:p w:rsidR="0010629E" w:rsidRDefault="0010629E" w:rsidP="00913224">
      <w:pPr>
        <w:spacing w:after="0" w:line="240" w:lineRule="auto"/>
        <w:jc w:val="both"/>
        <w:rPr>
          <w:rStyle w:val="fontstyle21"/>
        </w:rPr>
      </w:pPr>
      <w:r>
        <w:rPr>
          <w:rStyle w:val="fontstyle01"/>
        </w:rPr>
        <w:lastRenderedPageBreak/>
        <w:t>Государственная итоговая аттестация выпускников 9 классов в форме ОГЭ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 xml:space="preserve">Важнейшей задачей каждой школы города является эффективная подготовка выпускника к государственной итоговой аттестации, которая проводится в форме основного государственного экзамена и государственного выпускного экзамена. </w:t>
      </w:r>
    </w:p>
    <w:p w:rsidR="00A362E5" w:rsidRDefault="00A362E5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</w:t>
      </w:r>
      <w:r w:rsidR="00791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</w:t>
      </w:r>
      <w:r w:rsidR="00791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учебном году в 9-х классах обучалось 2</w:t>
      </w:r>
      <w:r w:rsidR="00791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ученика</w:t>
      </w:r>
      <w:r w:rsidR="00747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которые прошли г</w:t>
      </w:r>
      <w:r w:rsidR="00791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осударственную итоговую аттестацию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форме основного государственного экзамена. По итогам основного период</w:t>
      </w:r>
      <w:r w:rsidR="00747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ГИА </w:t>
      </w:r>
      <w:r w:rsidR="00852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211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</w:t>
      </w:r>
      <w:r w:rsidR="00852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ся получили аттестаты об основном общем образовании, причем </w:t>
      </w:r>
      <w:r w:rsidR="00852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выпускник</w:t>
      </w:r>
      <w:r w:rsidR="008521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A3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9-х классов получили аттестаты с отличием.</w:t>
      </w:r>
      <w:r w:rsidR="0076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B4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="0076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пройдут процедуру сдачи ГИА</w:t>
      </w:r>
      <w:r w:rsidR="00B4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-9 </w:t>
      </w:r>
      <w:r w:rsidR="0076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дополнительный период в сентябре, </w:t>
      </w:r>
      <w:r w:rsidR="00B45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т.к.</w:t>
      </w:r>
      <w:r w:rsidR="0076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основной период ими были получены неудовлетворительные результаты.</w:t>
      </w:r>
    </w:p>
    <w:p w:rsidR="00EA0139" w:rsidRDefault="00EA0139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0139" w:rsidRPr="00EA0139" w:rsidRDefault="00EA0139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13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Основные статистические результаты ГИА-9 в Островском районе</w:t>
      </w:r>
      <w:r w:rsidRPr="00EA013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br/>
      </w:r>
      <w:proofErr w:type="gramStart"/>
      <w:r w:rsidRPr="00EA013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 xml:space="preserve">( </w:t>
      </w:r>
      <w:proofErr w:type="gramEnd"/>
      <w:r w:rsidRPr="00EA013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Общие результаты участников ОГЭ в 5-балльной шкале)</w:t>
      </w:r>
    </w:p>
    <w:tbl>
      <w:tblPr>
        <w:tblW w:w="14536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10"/>
        <w:gridCol w:w="1286"/>
        <w:gridCol w:w="1691"/>
        <w:gridCol w:w="1701"/>
        <w:gridCol w:w="1984"/>
        <w:gridCol w:w="1843"/>
        <w:gridCol w:w="1843"/>
        <w:gridCol w:w="1778"/>
      </w:tblGrid>
      <w:tr w:rsidR="00EA0139" w:rsidRPr="00651BDA" w:rsidTr="00EA0139">
        <w:trPr>
          <w:trHeight w:val="100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Количество</w:t>
            </w: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br/>
              <w:t>участников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</w:pPr>
          </w:p>
          <w:p w:rsidR="00EA0139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</w:pPr>
          </w:p>
          <w:p w:rsidR="00EA0139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</w:pPr>
          </w:p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Средний</w:t>
            </w: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br/>
              <w:t>первичный</w:t>
            </w: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br/>
              <w:t>балл</w:t>
            </w:r>
            <w:r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 xml:space="preserve"> по Псковской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Средний</w:t>
            </w: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br/>
              <w:t>первичный</w:t>
            </w: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br/>
              <w:t>балл</w:t>
            </w:r>
            <w:r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 xml:space="preserve">  в Островском районе</w:t>
            </w:r>
          </w:p>
        </w:tc>
        <w:tc>
          <w:tcPr>
            <w:tcW w:w="7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Пятибалльная шкала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DA"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«5»</w:t>
            </w:r>
          </w:p>
        </w:tc>
      </w:tr>
      <w:tr w:rsidR="00EA0139" w:rsidRPr="00651BDA" w:rsidTr="00EA0139">
        <w:trPr>
          <w:trHeight w:val="83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800000"/>
                <w:sz w:val="20"/>
                <w:szCs w:val="20"/>
                <w:lang w:eastAsia="ru-RU"/>
              </w:rPr>
              <w:t>Кол-во чел</w:t>
            </w:r>
            <w:r w:rsidRPr="00651BDA">
              <w:rPr>
                <w:rFonts w:ascii="Calibri" w:eastAsia="Times New Roman" w:hAnsi="Calibri" w:cs="Calibri"/>
                <w:color w:val="800000"/>
                <w:sz w:val="20"/>
                <w:szCs w:val="20"/>
                <w:lang w:eastAsia="ru-RU"/>
              </w:rPr>
              <w:t xml:space="preserve">∕ </w:t>
            </w:r>
            <w:r w:rsidRPr="00651BDA">
              <w:rPr>
                <w:rFonts w:ascii="Calibri-Italic" w:eastAsia="Times New Roman" w:hAnsi="Calibri-Italic" w:cs="Times New Roman"/>
                <w:i/>
                <w:iCs/>
                <w:color w:val="800000"/>
                <w:sz w:val="20"/>
                <w:szCs w:val="20"/>
                <w:lang w:eastAsia="ru-RU"/>
              </w:rPr>
              <w:t>процент учащихся,</w:t>
            </w:r>
            <w:r w:rsidRPr="00651BDA">
              <w:rPr>
                <w:rFonts w:ascii="Calibri-Italic" w:eastAsia="Times New Roman" w:hAnsi="Calibri-Italic" w:cs="Times New Roman"/>
                <w:i/>
                <w:iCs/>
                <w:color w:val="800000"/>
                <w:sz w:val="20"/>
                <w:szCs w:val="20"/>
                <w:lang w:eastAsia="ru-RU"/>
              </w:rPr>
              <w:br/>
            </w:r>
            <w:r>
              <w:rPr>
                <w:rFonts w:ascii="Calibri-Italic" w:eastAsia="Times New Roman" w:hAnsi="Calibri-Italic" w:cs="Times New Roman"/>
                <w:i/>
                <w:iCs/>
                <w:color w:val="800000"/>
                <w:sz w:val="20"/>
                <w:szCs w:val="20"/>
                <w:lang w:eastAsia="ru-RU"/>
              </w:rPr>
              <w:t xml:space="preserve">получивших </w:t>
            </w:r>
            <w:r w:rsidRPr="00651BDA">
              <w:rPr>
                <w:rFonts w:ascii="Calibri-Italic" w:eastAsia="Times New Roman" w:hAnsi="Calibri-Italic" w:cs="Times New Roman"/>
                <w:i/>
                <w:iCs/>
                <w:color w:val="800000"/>
                <w:sz w:val="20"/>
                <w:szCs w:val="20"/>
                <w:lang w:eastAsia="ru-RU"/>
              </w:rPr>
              <w:t>соответствующ</w:t>
            </w:r>
            <w:r>
              <w:rPr>
                <w:rFonts w:ascii="Calibri-Italic" w:eastAsia="Times New Roman" w:hAnsi="Calibri-Italic" w:cs="Times New Roman"/>
                <w:i/>
                <w:iCs/>
                <w:color w:val="800000"/>
                <w:sz w:val="20"/>
                <w:szCs w:val="20"/>
                <w:lang w:eastAsia="ru-RU"/>
              </w:rPr>
              <w:t>уюоценку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Русский язык</w:t>
            </w:r>
            <w:r w:rsidRPr="00651BD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ru-RU"/>
              </w:rPr>
              <w:t xml:space="preserve">* </w:t>
            </w:r>
          </w:p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18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96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81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60 чел.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7,06%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37,65%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31,76 %</w:t>
            </w: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23,53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Математика</w:t>
            </w:r>
            <w:r w:rsidRPr="00651BD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ru-RU"/>
              </w:rPr>
              <w:t xml:space="preserve">**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13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110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110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26 чел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42,47 %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42,47%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10,04%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Физика </w:t>
            </w:r>
          </w:p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14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6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27,27 %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Химия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5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4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9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22,22 %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50,00 %</w:t>
            </w:r>
          </w:p>
        </w:tc>
      </w:tr>
      <w:tr w:rsidR="00EA0139" w:rsidRPr="00651BDA" w:rsidTr="00EA0139">
        <w:trPr>
          <w:trHeight w:val="37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Информатика и</w:t>
            </w: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 xml:space="preserve">ИКТ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4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36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26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6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36,11 %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8,33 %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9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8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7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33,33 %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29,17 %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5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50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56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12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40,65%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45,59 %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9,76 %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География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10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28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22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>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15,87%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34,92%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Английский язык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50,00%</w:t>
            </w:r>
          </w:p>
        </w:tc>
      </w:tr>
      <w:tr w:rsidR="00EA0139" w:rsidRPr="00651BDA" w:rsidTr="00EA0139">
        <w:trPr>
          <w:trHeight w:val="26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Обществознание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16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108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44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13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</w:tr>
      <w:tr w:rsidR="00EA0139" w:rsidRPr="00651BDA" w:rsidTr="00EA0139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8,84%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59,67 %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24,31%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7,18%</w:t>
            </w:r>
          </w:p>
        </w:tc>
      </w:tr>
      <w:tr w:rsidR="00EA0139" w:rsidRPr="00651BDA" w:rsidTr="00EA0139">
        <w:trPr>
          <w:trHeight w:val="15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Литература </w:t>
            </w:r>
          </w:p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0000"/>
                <w:sz w:val="20"/>
                <w:szCs w:val="20"/>
                <w:lang w:eastAsia="ru-RU"/>
              </w:rPr>
              <w:t>31,14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1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2C58D7" w:rsidRDefault="00EA0139" w:rsidP="0091322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>
              <w:rPr>
                <w:rFonts w:ascii="Calibri-Bold" w:eastAsia="Times New Roman" w:hAnsi="Calibri-Bold" w:cs="Times New Roman"/>
                <w:b/>
                <w:bCs/>
                <w:color w:val="0033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 чел.</w:t>
            </w:r>
          </w:p>
        </w:tc>
      </w:tr>
      <w:tr w:rsidR="00EA0139" w:rsidRPr="00651BDA" w:rsidTr="00EA0139">
        <w:trPr>
          <w:trHeight w:val="15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Calibri-Bold" w:eastAsia="Times New Roman" w:hAnsi="Calibri-Bol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33,33 %</w:t>
            </w:r>
          </w:p>
        </w:tc>
        <w:tc>
          <w:tcPr>
            <w:tcW w:w="1843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78" w:type="dxa"/>
          </w:tcPr>
          <w:p w:rsidR="00EA0139" w:rsidRPr="00651BDA" w:rsidRDefault="00EA0139" w:rsidP="00913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66,67%</w:t>
            </w:r>
          </w:p>
        </w:tc>
      </w:tr>
    </w:tbl>
    <w:p w:rsidR="00371A2F" w:rsidRDefault="00371A2F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62E5" w:rsidRPr="009F1553" w:rsidRDefault="00A362E5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3A93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Государственная итоговая аттестация выпускников 11 классовв форме ЕГЭ</w:t>
      </w:r>
    </w:p>
    <w:p w:rsidR="004D0FF5" w:rsidRDefault="009F1553" w:rsidP="0091322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едином государственном экзамене (ЕГЭ) в 202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приняли участие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выпускник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текущего года.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202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в 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Острове в связи капитальным ремонтом МБОУ «СШ №</w:t>
      </w:r>
      <w:r w:rsidR="0099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и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В.Н. Пушкарёва» для организации и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ЕГЭ был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осуществлены мероприятия по переносу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проведения экзамена (ППЭ) на баз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МБОУ «Г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имнази</w:t>
      </w:r>
      <w:r w:rsidR="00C93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я». </w:t>
      </w:r>
      <w:r w:rsidR="006E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ППЭ-25 своевременно и </w:t>
      </w:r>
      <w:r w:rsidR="006E524F" w:rsidRPr="002133B7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</w:t>
      </w:r>
      <w:r w:rsidR="006E524F">
        <w:rPr>
          <w:rFonts w:ascii="Times New Roman" w:hAnsi="Times New Roman" w:cs="Times New Roman"/>
          <w:sz w:val="28"/>
          <w:szCs w:val="28"/>
        </w:rPr>
        <w:t xml:space="preserve"> был подготовлен к проведению ЕГЭ</w:t>
      </w:r>
      <w:r w:rsidR="006E524F" w:rsidRPr="002133B7">
        <w:rPr>
          <w:rFonts w:ascii="Times New Roman" w:hAnsi="Times New Roman" w:cs="Times New Roman"/>
          <w:sz w:val="28"/>
          <w:szCs w:val="28"/>
        </w:rPr>
        <w:t xml:space="preserve">.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</w:t>
      </w:r>
      <w:r w:rsidR="00FC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ЕГЭ на территории </w:t>
      </w:r>
      <w:r w:rsidR="00FC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Островского района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прошёл в штатном режиме. Апелляции о нарушении процедуры проведенияЕГЭ от участников в государственную экзаменационную комиссию </w:t>
      </w:r>
      <w:r w:rsidR="00FC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Псковской области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поступали.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Распределение интересов участников ЕГЭ к сдаче предметов по выборув 202</w:t>
      </w:r>
      <w:r w:rsidR="00FC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полностью соотве</w:t>
      </w:r>
      <w:r w:rsidR="00FC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тствует тенденциям прошлых лет.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наиболее популярными предметами стали русский язык, математика (профильный уровень), обществознание, физика, </w:t>
      </w:r>
      <w:r w:rsidR="0099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Pr="009F15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биология.</w:t>
      </w:r>
    </w:p>
    <w:p w:rsidR="009966AD" w:rsidRPr="009966AD" w:rsidRDefault="009F1553" w:rsidP="0091322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F1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966AD" w:rsidRPr="009966AD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участия выпускников 11 классов Островского района в ГИА-2023 </w:t>
      </w:r>
    </w:p>
    <w:p w:rsidR="009966AD" w:rsidRPr="009966AD" w:rsidRDefault="009966AD" w:rsidP="0091322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51"/>
        <w:gridCol w:w="1134"/>
        <w:gridCol w:w="2835"/>
        <w:gridCol w:w="1580"/>
        <w:gridCol w:w="1964"/>
        <w:gridCol w:w="1964"/>
        <w:gridCol w:w="1964"/>
        <w:gridCol w:w="1964"/>
      </w:tblGrid>
      <w:tr w:rsidR="009966AD" w:rsidRPr="009966AD" w:rsidTr="00EA0139">
        <w:trPr>
          <w:cantSplit/>
          <w:trHeight w:val="2769"/>
        </w:trPr>
        <w:tc>
          <w:tcPr>
            <w:tcW w:w="1951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>Учебные предметы</w:t>
            </w:r>
          </w:p>
        </w:tc>
        <w:tc>
          <w:tcPr>
            <w:tcW w:w="1134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количество </w:t>
            </w:r>
            <w:proofErr w:type="gramStart"/>
            <w:r w:rsidRPr="009966AD">
              <w:rPr>
                <w:rFonts w:ascii="Times New Roman" w:eastAsia="Calibri" w:hAnsi="Times New Roman" w:cs="Times New Roman"/>
              </w:rPr>
              <w:t>тестируемых</w:t>
            </w:r>
            <w:proofErr w:type="gramEnd"/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количество выпускников, получивших от 81 балла   </w:t>
            </w:r>
          </w:p>
        </w:tc>
        <w:tc>
          <w:tcPr>
            <w:tcW w:w="1580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Средний тестовый балл  по Островскому району 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>20223г</w:t>
            </w:r>
          </w:p>
        </w:tc>
        <w:tc>
          <w:tcPr>
            <w:tcW w:w="1964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Средний тестовый балл  по Островскому району 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>2022г</w:t>
            </w:r>
          </w:p>
        </w:tc>
        <w:tc>
          <w:tcPr>
            <w:tcW w:w="1964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Средний тестовый балл  </w:t>
            </w:r>
            <w:proofErr w:type="gramStart"/>
            <w:r w:rsidRPr="009966AD">
              <w:rPr>
                <w:rFonts w:ascii="Times New Roman" w:eastAsia="Calibri" w:hAnsi="Times New Roman" w:cs="Times New Roman"/>
              </w:rPr>
              <w:t>по</w:t>
            </w:r>
            <w:proofErr w:type="gramEnd"/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>Псковской области</w:t>
            </w:r>
          </w:p>
        </w:tc>
        <w:tc>
          <w:tcPr>
            <w:tcW w:w="1964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 xml:space="preserve">Средний тестовый балл  по </w:t>
            </w:r>
            <w:proofErr w:type="spellStart"/>
            <w:r w:rsidRPr="009966AD">
              <w:rPr>
                <w:rFonts w:ascii="Times New Roman" w:eastAsia="Calibri" w:hAnsi="Times New Roman" w:cs="Times New Roman"/>
              </w:rPr>
              <w:t>Росиии</w:t>
            </w:r>
            <w:proofErr w:type="spellEnd"/>
          </w:p>
        </w:tc>
        <w:tc>
          <w:tcPr>
            <w:tcW w:w="1964" w:type="dxa"/>
            <w:textDirection w:val="btLr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66AD">
              <w:rPr>
                <w:rFonts w:ascii="Times New Roman" w:eastAsia="Calibri" w:hAnsi="Times New Roman" w:cs="Times New Roman"/>
              </w:rPr>
              <w:t>Количество участников ЕГЭ с результатами ниже минимального количества баллов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балл-24</w:t>
            </w:r>
            <w:proofErr w:type="gramStart"/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12 (15%)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сш№1 –  4 чел.;</w:t>
            </w:r>
          </w:p>
          <w:p w:rsidR="009966AD" w:rsidRPr="009966AD" w:rsidRDefault="009966AD" w:rsidP="00913224">
            <w:pPr>
              <w:ind w:lef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сш№4-2чел.;</w:t>
            </w:r>
          </w:p>
          <w:p w:rsidR="009966AD" w:rsidRPr="009966AD" w:rsidRDefault="009966AD" w:rsidP="00913224">
            <w:pPr>
              <w:ind w:lef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сш№7 -   3 чел.;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гимн.-2чел. 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61,71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63,97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68,37</w:t>
            </w:r>
          </w:p>
        </w:tc>
        <w:tc>
          <w:tcPr>
            <w:tcW w:w="1964" w:type="dxa"/>
          </w:tcPr>
          <w:p w:rsidR="009966AD" w:rsidRPr="009966AD" w:rsidRDefault="00BE57E7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68,43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3 (3,75%)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</w:t>
            </w:r>
            <w:proofErr w:type="spell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№3 - 2 чел.,</w:t>
            </w:r>
            <w:proofErr w:type="gramEnd"/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гимназия-1 чел.)</w:t>
            </w:r>
            <w:proofErr w:type="gramEnd"/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математика профильная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-27)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46,14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52,16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54,67</w:t>
            </w:r>
          </w:p>
        </w:tc>
        <w:tc>
          <w:tcPr>
            <w:tcW w:w="1964" w:type="dxa"/>
          </w:tcPr>
          <w:p w:rsidR="009966AD" w:rsidRPr="009966AD" w:rsidRDefault="00BE57E7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55,62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2 (10,34%)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(сш№7-1чел.;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гимназия-1 чел.)</w:t>
            </w:r>
            <w:proofErr w:type="gramEnd"/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-36)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46,38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46,45 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54,36</w:t>
            </w:r>
          </w:p>
        </w:tc>
        <w:tc>
          <w:tcPr>
            <w:tcW w:w="1964" w:type="dxa"/>
          </w:tcPr>
          <w:p w:rsidR="009966AD" w:rsidRPr="009966AD" w:rsidRDefault="00BE57E7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54,85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2(12.5%)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(гимназия–2 чел.)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балл-36</w:t>
            </w:r>
            <w:proofErr w:type="gramStart"/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56,33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62,26</w:t>
            </w:r>
          </w:p>
        </w:tc>
        <w:tc>
          <w:tcPr>
            <w:tcW w:w="1964" w:type="dxa"/>
          </w:tcPr>
          <w:p w:rsidR="009966AD" w:rsidRPr="009966AD" w:rsidRDefault="00BE57E7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56,23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-40)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50,67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54,02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58,39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 (16,67%)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(сш№4 - 1 чел.)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-36)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49,92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51,02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50,87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(8,33%)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(сш№7 - 1 чел.)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-32)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4 (36,36%)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(сш№1 - 3 чел.; 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</w:t>
            </w:r>
            <w:proofErr w:type="spell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№7 – 1 чел.)</w:t>
            </w:r>
            <w:proofErr w:type="gramEnd"/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63,36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58,33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57,18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56,37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 (9,09%)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(сш№1 - 1 чел.)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балл-22)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51,25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68,25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64,75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66,31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-42)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3 (6,98%)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</w:t>
            </w:r>
            <w:proofErr w:type="spell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№4 – 1 чел.;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сш№1 - 1 чел.;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сш№7 - 1 чел.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55,67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57,44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59,45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56,40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8 (18,6%)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сш</w:t>
            </w:r>
            <w:proofErr w:type="spell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 – 3 чел., сш№7 – 1 чел.,  гимназия– 2 чел.</w:t>
            </w:r>
            <w:proofErr w:type="gramEnd"/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Крюковская сш-2 чел.)</w:t>
            </w:r>
            <w:proofErr w:type="gramEnd"/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0"/>
                <w:szCs w:val="20"/>
              </w:rPr>
              <w:t>(минимальный балл -32)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39,67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56,32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63,97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966AD" w:rsidRPr="009966AD" w:rsidTr="00EA0139">
        <w:tc>
          <w:tcPr>
            <w:tcW w:w="1951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Немецкий яз</w:t>
            </w: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инимальный балл – 22)</w:t>
            </w:r>
          </w:p>
        </w:tc>
        <w:tc>
          <w:tcPr>
            <w:tcW w:w="113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580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966A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</w:rPr>
              <w:t>50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60,44</w:t>
            </w:r>
          </w:p>
        </w:tc>
        <w:tc>
          <w:tcPr>
            <w:tcW w:w="1964" w:type="dxa"/>
          </w:tcPr>
          <w:p w:rsidR="009966AD" w:rsidRPr="009966AD" w:rsidRDefault="007025EF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4" w:type="dxa"/>
          </w:tcPr>
          <w:p w:rsidR="009966AD" w:rsidRPr="009966AD" w:rsidRDefault="009966AD" w:rsidP="009132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9966AD" w:rsidRPr="009966AD" w:rsidRDefault="009966AD" w:rsidP="0091322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8342A" w:rsidRDefault="0098342A" w:rsidP="0091322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42A" w:rsidRDefault="0098342A" w:rsidP="0091322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6AD" w:rsidRPr="009966AD" w:rsidRDefault="009966AD" w:rsidP="0091322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66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Итоги ЕГЭ-2023.</w:t>
      </w:r>
    </w:p>
    <w:p w:rsidR="009966AD" w:rsidRDefault="009966AD" w:rsidP="0091322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6AD">
        <w:rPr>
          <w:rFonts w:ascii="Times New Roman" w:eastAsia="Calibri" w:hAnsi="Times New Roman" w:cs="Times New Roman"/>
          <w:sz w:val="28"/>
          <w:szCs w:val="28"/>
        </w:rPr>
        <w:t>Получено количество баллов выше областных</w:t>
      </w:r>
      <w:r w:rsidR="007025E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9966AD">
        <w:rPr>
          <w:rFonts w:ascii="Times New Roman" w:eastAsia="Calibri" w:hAnsi="Times New Roman" w:cs="Times New Roman"/>
          <w:sz w:val="28"/>
          <w:szCs w:val="28"/>
        </w:rPr>
        <w:t xml:space="preserve">  по 1 учебному предмету (история)</w:t>
      </w:r>
      <w:r w:rsidR="007025EF">
        <w:rPr>
          <w:rFonts w:ascii="Times New Roman" w:eastAsia="Calibri" w:hAnsi="Times New Roman" w:cs="Times New Roman"/>
          <w:sz w:val="28"/>
          <w:szCs w:val="28"/>
        </w:rPr>
        <w:t xml:space="preserve">,выше общероссийских по 2 предметам (история и </w:t>
      </w:r>
      <w:r w:rsidR="00B04EF4">
        <w:rPr>
          <w:rFonts w:ascii="Times New Roman" w:eastAsia="Calibri" w:hAnsi="Times New Roman" w:cs="Times New Roman"/>
          <w:sz w:val="28"/>
          <w:szCs w:val="28"/>
        </w:rPr>
        <w:t>химия</w:t>
      </w:r>
      <w:r w:rsidR="007025EF">
        <w:rPr>
          <w:rFonts w:ascii="Times New Roman" w:eastAsia="Calibri" w:hAnsi="Times New Roman" w:cs="Times New Roman"/>
          <w:sz w:val="28"/>
          <w:szCs w:val="28"/>
        </w:rPr>
        <w:t>)</w:t>
      </w:r>
      <w:r w:rsidRPr="009966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1EB1" w:rsidRDefault="00151EB1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3297" w:rsidRPr="009966AD" w:rsidRDefault="009F1553" w:rsidP="009132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F1553">
        <w:rPr>
          <w:rFonts w:ascii="Times New Roman" w:hAnsi="Times New Roman" w:cs="Times New Roman"/>
          <w:color w:val="000000"/>
          <w:sz w:val="28"/>
          <w:szCs w:val="28"/>
        </w:rPr>
        <w:t>В целом подготовка к ЕГЭ в 202</w:t>
      </w:r>
      <w:r w:rsidR="007025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 xml:space="preserve"> году по всем предметам была прове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дена эффективно 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и соответствовала поставленным в контрольно</w:t>
      </w:r>
      <w:r w:rsidR="00300C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1553">
        <w:rPr>
          <w:rFonts w:ascii="Times New Roman" w:hAnsi="Times New Roman" w:cs="Times New Roman"/>
          <w:color w:val="000000"/>
          <w:sz w:val="28"/>
          <w:szCs w:val="28"/>
        </w:rPr>
        <w:t>измерительн</w:t>
      </w:r>
      <w:r w:rsidR="007025EF">
        <w:rPr>
          <w:rFonts w:ascii="Times New Roman" w:hAnsi="Times New Roman" w:cs="Times New Roman"/>
          <w:color w:val="000000"/>
          <w:sz w:val="28"/>
          <w:szCs w:val="28"/>
        </w:rPr>
        <w:t>ых материалах задачам, однако</w:t>
      </w:r>
      <w:r w:rsidR="00300C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297" w:rsidRPr="009F1553">
        <w:rPr>
          <w:rFonts w:ascii="Times New Roman" w:hAnsi="Times New Roman" w:cs="Times New Roman"/>
          <w:color w:val="000000"/>
          <w:sz w:val="28"/>
          <w:szCs w:val="28"/>
        </w:rPr>
        <w:t>наблюдается снижение среднего балла помногим предметам</w:t>
      </w:r>
      <w:proofErr w:type="gramStart"/>
      <w:r w:rsidR="00703297" w:rsidRPr="009F155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="0070329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</w:t>
      </w:r>
      <w:proofErr w:type="gramEnd"/>
      <w:r w:rsidR="00703297" w:rsidRPr="009966A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2022-2023 учебном году  5 выпускников 11 класса </w:t>
      </w:r>
      <w:r w:rsidR="0070329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получили неудовлетворительные оценки</w:t>
      </w:r>
      <w:r w:rsidR="00703297" w:rsidRPr="009966A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по </w:t>
      </w:r>
      <w:r w:rsidR="0070329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результатам ГИА. Они будут пересдавать обязательные предметы в дополнительный период.</w:t>
      </w:r>
    </w:p>
    <w:p w:rsidR="00FA62EE" w:rsidRDefault="00FA62EE" w:rsidP="00913224">
      <w:pPr>
        <w:jc w:val="both"/>
        <w:rPr>
          <w:sz w:val="18"/>
          <w:szCs w:val="18"/>
        </w:rPr>
      </w:pPr>
    </w:p>
    <w:sectPr w:rsidR="00FA62EE" w:rsidSect="00BA1A36">
      <w:pgSz w:w="16838" w:h="11906" w:orient="landscape"/>
      <w:pgMar w:top="709" w:right="82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057"/>
    <w:rsid w:val="00081CD4"/>
    <w:rsid w:val="00086D7F"/>
    <w:rsid w:val="000962C1"/>
    <w:rsid w:val="0010629E"/>
    <w:rsid w:val="001114E7"/>
    <w:rsid w:val="00151983"/>
    <w:rsid w:val="00151EB1"/>
    <w:rsid w:val="0018383E"/>
    <w:rsid w:val="00186880"/>
    <w:rsid w:val="001A0EDF"/>
    <w:rsid w:val="001A0FBD"/>
    <w:rsid w:val="001A7BA5"/>
    <w:rsid w:val="001F40F2"/>
    <w:rsid w:val="00212682"/>
    <w:rsid w:val="002517EE"/>
    <w:rsid w:val="00263F8D"/>
    <w:rsid w:val="00283057"/>
    <w:rsid w:val="00300C60"/>
    <w:rsid w:val="003146D1"/>
    <w:rsid w:val="00371A2F"/>
    <w:rsid w:val="0039440D"/>
    <w:rsid w:val="00407118"/>
    <w:rsid w:val="00494557"/>
    <w:rsid w:val="004B5489"/>
    <w:rsid w:val="004D0FF5"/>
    <w:rsid w:val="004F3DA2"/>
    <w:rsid w:val="005F3B3B"/>
    <w:rsid w:val="00692328"/>
    <w:rsid w:val="006C21BD"/>
    <w:rsid w:val="006E524F"/>
    <w:rsid w:val="006F6EDF"/>
    <w:rsid w:val="007025EF"/>
    <w:rsid w:val="00703297"/>
    <w:rsid w:val="00710065"/>
    <w:rsid w:val="00736A09"/>
    <w:rsid w:val="0074723B"/>
    <w:rsid w:val="00764953"/>
    <w:rsid w:val="0079111E"/>
    <w:rsid w:val="00793DB9"/>
    <w:rsid w:val="007F75B7"/>
    <w:rsid w:val="008521FA"/>
    <w:rsid w:val="008B2929"/>
    <w:rsid w:val="008C5EDB"/>
    <w:rsid w:val="008E4D16"/>
    <w:rsid w:val="00913224"/>
    <w:rsid w:val="00967753"/>
    <w:rsid w:val="0098342A"/>
    <w:rsid w:val="009966AD"/>
    <w:rsid w:val="009D3BE7"/>
    <w:rsid w:val="009E2D39"/>
    <w:rsid w:val="009E4C14"/>
    <w:rsid w:val="009F1553"/>
    <w:rsid w:val="00A138CE"/>
    <w:rsid w:val="00A362E5"/>
    <w:rsid w:val="00B04EF4"/>
    <w:rsid w:val="00B15879"/>
    <w:rsid w:val="00B20B39"/>
    <w:rsid w:val="00B334D5"/>
    <w:rsid w:val="00B3533A"/>
    <w:rsid w:val="00B4539F"/>
    <w:rsid w:val="00BA1A36"/>
    <w:rsid w:val="00BA4221"/>
    <w:rsid w:val="00BB1444"/>
    <w:rsid w:val="00BE57E7"/>
    <w:rsid w:val="00C134A1"/>
    <w:rsid w:val="00C16F99"/>
    <w:rsid w:val="00C45739"/>
    <w:rsid w:val="00C83BE0"/>
    <w:rsid w:val="00C93A93"/>
    <w:rsid w:val="00C96CBB"/>
    <w:rsid w:val="00CD2EA4"/>
    <w:rsid w:val="00CD7CEB"/>
    <w:rsid w:val="00D30C91"/>
    <w:rsid w:val="00D5736A"/>
    <w:rsid w:val="00D614E5"/>
    <w:rsid w:val="00DB34BA"/>
    <w:rsid w:val="00DD311E"/>
    <w:rsid w:val="00E25845"/>
    <w:rsid w:val="00E42C9A"/>
    <w:rsid w:val="00E4792D"/>
    <w:rsid w:val="00E731F5"/>
    <w:rsid w:val="00EA0139"/>
    <w:rsid w:val="00ED17FD"/>
    <w:rsid w:val="00ED4C1C"/>
    <w:rsid w:val="00F01600"/>
    <w:rsid w:val="00F55C0D"/>
    <w:rsid w:val="00F624D0"/>
    <w:rsid w:val="00FA62EE"/>
    <w:rsid w:val="00FC3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1587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158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C21B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151EB1"/>
    <w:pPr>
      <w:spacing w:line="240" w:lineRule="auto"/>
      <w:ind w:left="720"/>
      <w:contextualSpacing/>
    </w:pPr>
  </w:style>
  <w:style w:type="table" w:styleId="a4">
    <w:name w:val="Table Grid"/>
    <w:basedOn w:val="a1"/>
    <w:uiPriority w:val="59"/>
    <w:rsid w:val="00151E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1587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158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C21B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151EB1"/>
    <w:pPr>
      <w:spacing w:line="240" w:lineRule="auto"/>
      <w:ind w:left="720"/>
      <w:contextualSpacing/>
    </w:pPr>
  </w:style>
  <w:style w:type="table" w:styleId="a4">
    <w:name w:val="Table Grid"/>
    <w:basedOn w:val="a1"/>
    <w:uiPriority w:val="59"/>
    <w:rsid w:val="00151E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УО-СПЕЦ-3</dc:creator>
  <cp:lastModifiedBy>User</cp:lastModifiedBy>
  <cp:revision>12</cp:revision>
  <cp:lastPrinted>2023-09-05T08:37:00Z</cp:lastPrinted>
  <dcterms:created xsi:type="dcterms:W3CDTF">2023-08-28T13:01:00Z</dcterms:created>
  <dcterms:modified xsi:type="dcterms:W3CDTF">2023-09-05T08:38:00Z</dcterms:modified>
</cp:coreProperties>
</file>